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D66A" w14:textId="1E76AB66" w:rsidR="006A7F0E" w:rsidRPr="006A7F0E" w:rsidRDefault="006A7F0E" w:rsidP="006A7F0E">
      <w:pPr>
        <w:shd w:val="clear" w:color="auto" w:fill="FFFFFF"/>
        <w:spacing w:after="75" w:line="264" w:lineRule="atLeast"/>
        <w:outlineLvl w:val="0"/>
        <w:rPr>
          <w:rFonts w:ascii="Helvetica" w:eastAsia="Times New Roman" w:hAnsi="Helvetica" w:cs="Helvetica"/>
          <w:b/>
          <w:bCs/>
          <w:color w:val="404041"/>
          <w:kern w:val="36"/>
          <w:sz w:val="40"/>
          <w:szCs w:val="40"/>
          <w14:ligatures w14:val="none"/>
        </w:rPr>
      </w:pPr>
      <w:r w:rsidRPr="006A7F0E">
        <w:rPr>
          <w:rFonts w:ascii="Helvetica" w:eastAsia="Times New Roman" w:hAnsi="Helvetica" w:cs="Helvetica"/>
          <w:b/>
          <w:bCs/>
          <w:color w:val="404041"/>
          <w:kern w:val="36"/>
          <w:sz w:val="40"/>
          <w:szCs w:val="40"/>
          <w14:ligatures w14:val="none"/>
        </w:rPr>
        <w:t>Women still face gender inequalities at work post-pandemic</w:t>
      </w:r>
    </w:p>
    <w:p w14:paraId="7CF64F42" w14:textId="366EC029"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 xml:space="preserve">by Claudine Mangen, RBC Professor in Responsible Organizations and Full Professor, Concordia </w:t>
      </w:r>
      <w:proofErr w:type="gramStart"/>
      <w:r w:rsidRPr="006A7F0E">
        <w:rPr>
          <w:rFonts w:ascii="Open Sans" w:eastAsia="Times New Roman" w:hAnsi="Open Sans" w:cs="Open Sans"/>
          <w:color w:val="4E4E4E"/>
          <w:kern w:val="0"/>
          <w:sz w:val="27"/>
          <w:szCs w:val="27"/>
          <w14:ligatures w14:val="none"/>
        </w:rPr>
        <w:t>University  January</w:t>
      </w:r>
      <w:proofErr w:type="gramEnd"/>
      <w:r w:rsidRPr="006A7F0E">
        <w:rPr>
          <w:rFonts w:ascii="Open Sans" w:eastAsia="Times New Roman" w:hAnsi="Open Sans" w:cs="Open Sans"/>
          <w:color w:val="4E4E4E"/>
          <w:kern w:val="0"/>
          <w:sz w:val="27"/>
          <w:szCs w:val="27"/>
          <w14:ligatures w14:val="none"/>
        </w:rPr>
        <w:t xml:space="preserve"> 26, 2024 </w:t>
      </w:r>
    </w:p>
    <w:p w14:paraId="104BA45F" w14:textId="4F6FDC6E" w:rsidR="006A7F0E" w:rsidRPr="006A7F0E" w:rsidRDefault="006F3428" w:rsidP="006A7F0E">
      <w:pPr>
        <w:shd w:val="clear" w:color="auto" w:fill="FFFFFF"/>
        <w:spacing w:after="0" w:line="240" w:lineRule="auto"/>
        <w:rPr>
          <w:rFonts w:ascii="Open Sans" w:eastAsia="Times New Roman" w:hAnsi="Open Sans" w:cs="Open Sans"/>
          <w:color w:val="4E4E4E"/>
          <w:kern w:val="0"/>
          <w:sz w:val="27"/>
          <w:szCs w:val="27"/>
          <w14:ligatures w14:val="none"/>
        </w:rPr>
      </w:pPr>
      <w:hyperlink r:id="rId5" w:history="1">
        <w:r w:rsidR="006A7F0E" w:rsidRPr="006A7F0E">
          <w:rPr>
            <w:rFonts w:ascii="Open Sans" w:eastAsia="Times New Roman" w:hAnsi="Open Sans" w:cs="Open Sans"/>
            <w:b/>
            <w:bCs/>
            <w:color w:val="555555"/>
            <w:kern w:val="0"/>
            <w:sz w:val="20"/>
            <w:szCs w:val="20"/>
            <w:u w:val="single"/>
            <w:shd w:val="clear" w:color="auto" w:fill="EEEEEE"/>
            <w14:ligatures w14:val="none"/>
          </w:rPr>
          <w:t>Human Resources</w:t>
        </w:r>
      </w:hyperlink>
      <w:r w:rsidR="006A7F0E" w:rsidRPr="006A7F0E">
        <w:rPr>
          <w:rFonts w:ascii="Open Sans" w:eastAsia="Times New Roman" w:hAnsi="Open Sans" w:cs="Open Sans"/>
          <w:color w:val="4E4E4E"/>
          <w:kern w:val="0"/>
          <w:sz w:val="27"/>
          <w:szCs w:val="27"/>
          <w14:ligatures w14:val="none"/>
        </w:rPr>
        <w:t> </w:t>
      </w:r>
      <w:hyperlink r:id="rId6" w:history="1">
        <w:r w:rsidR="006A7F0E" w:rsidRPr="006A7F0E">
          <w:rPr>
            <w:rFonts w:ascii="Open Sans" w:eastAsia="Times New Roman" w:hAnsi="Open Sans" w:cs="Open Sans"/>
            <w:b/>
            <w:bCs/>
            <w:color w:val="555555"/>
            <w:kern w:val="0"/>
            <w:sz w:val="20"/>
            <w:szCs w:val="20"/>
            <w:u w:val="single"/>
            <w:shd w:val="clear" w:color="auto" w:fill="EEEEEE"/>
            <w14:ligatures w14:val="none"/>
          </w:rPr>
          <w:t>Manufacturing</w:t>
        </w:r>
      </w:hyperlink>
      <w:r w:rsidR="006A7F0E" w:rsidRPr="006A7F0E">
        <w:rPr>
          <w:rFonts w:ascii="Open Sans" w:eastAsia="Times New Roman" w:hAnsi="Open Sans" w:cs="Open Sans"/>
          <w:color w:val="4E4E4E"/>
          <w:kern w:val="0"/>
          <w:sz w:val="27"/>
          <w:szCs w:val="27"/>
          <w14:ligatures w14:val="none"/>
        </w:rPr>
        <w:t> </w:t>
      </w:r>
      <w:hyperlink r:id="rId7" w:history="1">
        <w:r w:rsidR="006A7F0E" w:rsidRPr="006A7F0E">
          <w:rPr>
            <w:rFonts w:ascii="Open Sans" w:eastAsia="Times New Roman" w:hAnsi="Open Sans" w:cs="Open Sans"/>
            <w:b/>
            <w:bCs/>
            <w:color w:val="555555"/>
            <w:kern w:val="0"/>
            <w:sz w:val="20"/>
            <w:szCs w:val="20"/>
            <w:u w:val="single"/>
            <w:shd w:val="clear" w:color="auto" w:fill="EEEEEE"/>
            <w14:ligatures w14:val="none"/>
          </w:rPr>
          <w:t>Operations</w:t>
        </w:r>
      </w:hyperlink>
      <w:r w:rsidR="006A7F0E" w:rsidRPr="006A7F0E">
        <w:rPr>
          <w:rFonts w:ascii="Open Sans" w:eastAsia="Times New Roman" w:hAnsi="Open Sans" w:cs="Open Sans"/>
          <w:color w:val="4E4E4E"/>
          <w:kern w:val="0"/>
          <w:sz w:val="27"/>
          <w:szCs w:val="27"/>
          <w14:ligatures w14:val="none"/>
        </w:rPr>
        <w:t> </w:t>
      </w:r>
      <w:hyperlink r:id="rId8" w:history="1">
        <w:r w:rsidR="006A7F0E" w:rsidRPr="006A7F0E">
          <w:rPr>
            <w:rFonts w:ascii="Open Sans" w:eastAsia="Times New Roman" w:hAnsi="Open Sans" w:cs="Open Sans"/>
            <w:b/>
            <w:bCs/>
            <w:color w:val="555555"/>
            <w:kern w:val="0"/>
            <w:sz w:val="20"/>
            <w:szCs w:val="20"/>
            <w:u w:val="single"/>
            <w:shd w:val="clear" w:color="auto" w:fill="EEEEEE"/>
            <w14:ligatures w14:val="none"/>
          </w:rPr>
          <w:t>Research &amp; Development</w:t>
        </w:r>
      </w:hyperlink>
      <w:r w:rsidR="006A7F0E" w:rsidRPr="006A7F0E">
        <w:rPr>
          <w:rFonts w:ascii="Open Sans" w:eastAsia="Times New Roman" w:hAnsi="Open Sans" w:cs="Open Sans"/>
          <w:color w:val="4E4E4E"/>
          <w:kern w:val="0"/>
          <w:sz w:val="27"/>
          <w:szCs w:val="27"/>
          <w14:ligatures w14:val="none"/>
        </w:rPr>
        <w:t> </w:t>
      </w:r>
      <w:hyperlink r:id="rId9" w:history="1">
        <w:r w:rsidR="006A7F0E" w:rsidRPr="006A7F0E">
          <w:rPr>
            <w:rFonts w:ascii="Open Sans" w:eastAsia="Times New Roman" w:hAnsi="Open Sans" w:cs="Open Sans"/>
            <w:b/>
            <w:bCs/>
            <w:color w:val="555555"/>
            <w:kern w:val="0"/>
            <w:sz w:val="20"/>
            <w:szCs w:val="20"/>
            <w:u w:val="single"/>
            <w:shd w:val="clear" w:color="auto" w:fill="EEEEEE"/>
            <w14:ligatures w14:val="none"/>
          </w:rPr>
          <w:t>Infrastructure</w:t>
        </w:r>
      </w:hyperlink>
    </w:p>
    <w:p w14:paraId="40ED7AB2" w14:textId="49D7C536" w:rsidR="006A7F0E" w:rsidRPr="006A7F0E" w:rsidRDefault="006A7F0E" w:rsidP="006A7F0E">
      <w:pPr>
        <w:shd w:val="clear" w:color="auto" w:fill="FFFFFF"/>
        <w:spacing w:after="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br/>
      </w:r>
    </w:p>
    <w:p w14:paraId="7188E29E" w14:textId="0DEF5881" w:rsidR="006A7F0E" w:rsidRPr="006A7F0E" w:rsidRDefault="006A7F0E" w:rsidP="006A7F0E">
      <w:pPr>
        <w:shd w:val="clear" w:color="auto" w:fill="FFFFFF"/>
        <w:spacing w:after="480" w:line="240" w:lineRule="auto"/>
        <w:rPr>
          <w:rFonts w:ascii="Open Sans" w:eastAsia="Times New Roman" w:hAnsi="Open Sans" w:cs="Open Sans"/>
          <w:color w:val="4E4E4E"/>
          <w:kern w:val="0"/>
          <w:sz w:val="41"/>
          <w:szCs w:val="41"/>
          <w14:ligatures w14:val="none"/>
        </w:rPr>
      </w:pPr>
      <w:r w:rsidRPr="006A7F0E">
        <w:rPr>
          <w:rFonts w:ascii="Open Sans" w:eastAsia="Times New Roman" w:hAnsi="Open Sans" w:cs="Open Sans"/>
          <w:noProof/>
          <w:color w:val="686868"/>
          <w:kern w:val="0"/>
          <w:sz w:val="21"/>
          <w:szCs w:val="21"/>
          <w14:ligatures w14:val="none"/>
        </w:rPr>
        <w:drawing>
          <wp:anchor distT="0" distB="0" distL="114300" distR="114300" simplePos="0" relativeHeight="251658240" behindDoc="1" locked="0" layoutInCell="1" allowOverlap="1" wp14:anchorId="413E5A2F" wp14:editId="5EF8A4E7">
            <wp:simplePos x="0" y="0"/>
            <wp:positionH relativeFrom="column">
              <wp:posOffset>-22860</wp:posOffset>
            </wp:positionH>
            <wp:positionV relativeFrom="paragraph">
              <wp:posOffset>6985</wp:posOffset>
            </wp:positionV>
            <wp:extent cx="1829435" cy="1219200"/>
            <wp:effectExtent l="0" t="0" r="0" b="0"/>
            <wp:wrapTight wrapText="bothSides">
              <wp:wrapPolygon edited="0">
                <wp:start x="0" y="0"/>
                <wp:lineTo x="0" y="21263"/>
                <wp:lineTo x="21368" y="21263"/>
                <wp:lineTo x="21368" y="0"/>
                <wp:lineTo x="0" y="0"/>
              </wp:wrapPolygon>
            </wp:wrapTight>
            <wp:docPr id="682296822" name="Picture 3" descr="A group of people looking at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296822" name="Picture 3" descr="A group of people looking at a pap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43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F0E">
        <w:rPr>
          <w:rFonts w:ascii="Open Sans" w:eastAsia="Times New Roman" w:hAnsi="Open Sans" w:cs="Open Sans"/>
          <w:color w:val="4E4E4E"/>
          <w:kern w:val="0"/>
          <w:sz w:val="41"/>
          <w:szCs w:val="41"/>
          <w14:ligatures w14:val="none"/>
        </w:rPr>
        <w:t>Women’s absence from the labour force is often not a choice, but the result of factors outside their control.</w:t>
      </w:r>
    </w:p>
    <w:p w14:paraId="2B6AAD14" w14:textId="581738EA" w:rsidR="006A7F0E" w:rsidRPr="006A7F0E" w:rsidRDefault="006A7F0E" w:rsidP="006A7F0E">
      <w:pPr>
        <w:shd w:val="clear" w:color="auto" w:fill="FFFFFF"/>
        <w:spacing w:after="0" w:line="240" w:lineRule="auto"/>
        <w:jc w:val="center"/>
        <w:rPr>
          <w:rFonts w:ascii="Open Sans" w:eastAsia="Times New Roman" w:hAnsi="Open Sans" w:cs="Open Sans"/>
          <w:color w:val="686868"/>
          <w:kern w:val="0"/>
          <w:sz w:val="21"/>
          <w:szCs w:val="21"/>
          <w14:ligatures w14:val="none"/>
        </w:rPr>
      </w:pPr>
    </w:p>
    <w:p w14:paraId="367E9E79" w14:textId="06149C71" w:rsidR="006A7F0E" w:rsidRPr="006A7F0E" w:rsidRDefault="006A7F0E" w:rsidP="006A7F0E">
      <w:pPr>
        <w:shd w:val="clear" w:color="auto" w:fill="FFFFFF"/>
        <w:spacing w:line="255" w:lineRule="atLeast"/>
        <w:jc w:val="center"/>
        <w:rPr>
          <w:rFonts w:ascii="Open Sans" w:eastAsia="Times New Roman" w:hAnsi="Open Sans" w:cs="Open Sans"/>
          <w:color w:val="686868"/>
          <w:kern w:val="0"/>
          <w:sz w:val="17"/>
          <w:szCs w:val="17"/>
          <w14:ligatures w14:val="none"/>
        </w:rPr>
      </w:pPr>
      <w:r w:rsidRPr="006A7F0E">
        <w:rPr>
          <w:rFonts w:ascii="Open Sans" w:eastAsia="Times New Roman" w:hAnsi="Open Sans" w:cs="Open Sans"/>
          <w:color w:val="686868"/>
          <w:kern w:val="0"/>
          <w:sz w:val="17"/>
          <w:szCs w:val="17"/>
          <w14:ligatures w14:val="none"/>
        </w:rPr>
        <w:t xml:space="preserve">The differences that men and women bring to the table should be embraced and promoted by organizations, not </w:t>
      </w:r>
      <w:proofErr w:type="gramStart"/>
      <w:r w:rsidRPr="006A7F0E">
        <w:rPr>
          <w:rFonts w:ascii="Open Sans" w:eastAsia="Times New Roman" w:hAnsi="Open Sans" w:cs="Open Sans"/>
          <w:color w:val="686868"/>
          <w:kern w:val="0"/>
          <w:sz w:val="17"/>
          <w:szCs w:val="17"/>
          <w14:ligatures w14:val="none"/>
        </w:rPr>
        <w:t>judged</w:t>
      </w:r>
      <w:proofErr w:type="gramEnd"/>
      <w:r w:rsidRPr="006A7F0E">
        <w:rPr>
          <w:rFonts w:ascii="Open Sans" w:eastAsia="Times New Roman" w:hAnsi="Open Sans" w:cs="Open Sans"/>
          <w:color w:val="686868"/>
          <w:kern w:val="0"/>
          <w:sz w:val="17"/>
          <w:szCs w:val="17"/>
          <w14:ligatures w14:val="none"/>
        </w:rPr>
        <w:t xml:space="preserve"> or condemned. </w:t>
      </w:r>
    </w:p>
    <w:p w14:paraId="3292695D"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The COVID-19 pandemic brought the longstanding economic inequalities between women and men into sharp focus. From the onset of the pandemic, up until the summer of 2022, </w:t>
      </w:r>
      <w:hyperlink r:id="rId11" w:history="1">
        <w:r w:rsidRPr="006A7F0E">
          <w:rPr>
            <w:rFonts w:ascii="Open Sans" w:eastAsia="Times New Roman" w:hAnsi="Open Sans" w:cs="Open Sans"/>
            <w:color w:val="085694"/>
            <w:kern w:val="0"/>
            <w:sz w:val="27"/>
            <w:szCs w:val="27"/>
            <w:u w:val="single"/>
            <w14:ligatures w14:val="none"/>
          </w:rPr>
          <w:t>economic gender gaps continued to widen</w:t>
        </w:r>
      </w:hyperlink>
      <w:r w:rsidRPr="006A7F0E">
        <w:rPr>
          <w:rFonts w:ascii="Open Sans" w:eastAsia="Times New Roman" w:hAnsi="Open Sans" w:cs="Open Sans"/>
          <w:color w:val="4E4E4E"/>
          <w:kern w:val="0"/>
          <w:sz w:val="27"/>
          <w:szCs w:val="27"/>
          <w14:ligatures w14:val="none"/>
        </w:rPr>
        <w:t>.</w:t>
      </w:r>
    </w:p>
    <w:p w14:paraId="35E0F3B8"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Lockdowns and economic uncertainties created a perfect storm, leading to job losses and reduced opportunities for women in the workforce. The increased burden of caregiving responsibilities placed an additional strain on women, often forcing them to make difficult choices between their careers and family obligations.</w:t>
      </w:r>
    </w:p>
    <w:p w14:paraId="11F2B901"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The situation peaked in 2020 when </w:t>
      </w:r>
      <w:hyperlink r:id="rId12" w:history="1">
        <w:r w:rsidRPr="006A7F0E">
          <w:rPr>
            <w:rFonts w:ascii="Open Sans" w:eastAsia="Times New Roman" w:hAnsi="Open Sans" w:cs="Open Sans"/>
            <w:color w:val="085694"/>
            <w:kern w:val="0"/>
            <w:sz w:val="27"/>
            <w:szCs w:val="27"/>
            <w:u w:val="single"/>
            <w14:ligatures w14:val="none"/>
          </w:rPr>
          <w:t>women’s workforce participation plummeted to levels not seen since the 1980s</w:t>
        </w:r>
      </w:hyperlink>
      <w:r w:rsidRPr="006A7F0E">
        <w:rPr>
          <w:rFonts w:ascii="Open Sans" w:eastAsia="Times New Roman" w:hAnsi="Open Sans" w:cs="Open Sans"/>
          <w:color w:val="4E4E4E"/>
          <w:kern w:val="0"/>
          <w:sz w:val="27"/>
          <w:szCs w:val="27"/>
          <w14:ligatures w14:val="none"/>
        </w:rPr>
        <w:t>. This decline marked a concerning setback in the progress women had collectively made in the workplace over the past few decades.</w:t>
      </w:r>
    </w:p>
    <w:p w14:paraId="2C243284" w14:textId="32230B21" w:rsidR="006A7F0E" w:rsidRPr="006A7F0E" w:rsidRDefault="006A7F0E" w:rsidP="006A7F0E">
      <w:pPr>
        <w:shd w:val="clear" w:color="auto" w:fill="FFFFFF"/>
        <w:spacing w:after="240" w:line="240" w:lineRule="auto"/>
        <w:rPr>
          <w:rFonts w:ascii="Arial" w:eastAsia="Times New Roman" w:hAnsi="Arial" w:cs="Arial"/>
          <w:caps/>
          <w:color w:val="CCCCCC"/>
          <w:kern w:val="0"/>
          <w:sz w:val="17"/>
          <w:szCs w:val="17"/>
          <w14:ligatures w14:val="none"/>
        </w:rPr>
      </w:pPr>
      <w:r w:rsidRPr="006A7F0E">
        <w:rPr>
          <w:rFonts w:ascii="Open Sans" w:eastAsia="Times New Roman" w:hAnsi="Open Sans" w:cs="Open Sans"/>
          <w:color w:val="4E4E4E"/>
          <w:kern w:val="0"/>
          <w:sz w:val="27"/>
          <w:szCs w:val="27"/>
          <w14:ligatures w14:val="none"/>
        </w:rPr>
        <w:t>Now, looking back at how these gender inequalities have evolved since 2022, the overall picture is a bit more complex. The most recent data from </w:t>
      </w:r>
      <w:hyperlink r:id="rId13" w:history="1">
        <w:r w:rsidRPr="006A7F0E">
          <w:rPr>
            <w:rFonts w:ascii="Open Sans" w:eastAsia="Times New Roman" w:hAnsi="Open Sans" w:cs="Open Sans"/>
            <w:color w:val="085694"/>
            <w:kern w:val="0"/>
            <w:sz w:val="27"/>
            <w:szCs w:val="27"/>
            <w:u w:val="single"/>
            <w14:ligatures w14:val="none"/>
          </w:rPr>
          <w:t>Statistics Canada</w:t>
        </w:r>
      </w:hyperlink>
      <w:r w:rsidRPr="006A7F0E">
        <w:rPr>
          <w:rFonts w:ascii="Open Sans" w:eastAsia="Times New Roman" w:hAnsi="Open Sans" w:cs="Open Sans"/>
          <w:color w:val="4E4E4E"/>
          <w:kern w:val="0"/>
          <w:sz w:val="27"/>
          <w:szCs w:val="27"/>
          <w14:ligatures w14:val="none"/>
        </w:rPr>
        <w:t> shows that, while gender inequalities remain fairly large between women and men, there are also some exceptions.</w:t>
      </w:r>
    </w:p>
    <w:p w14:paraId="3CE3BBDC" w14:textId="77777777" w:rsidR="006A7F0E" w:rsidRDefault="006A7F0E" w:rsidP="006A7F0E">
      <w:pPr>
        <w:pBdr>
          <w:bottom w:val="single" w:sz="24" w:space="8" w:color="EFEFEF"/>
        </w:pBdr>
        <w:shd w:val="clear" w:color="auto" w:fill="FFFFFF"/>
        <w:spacing w:before="480" w:after="240" w:line="240" w:lineRule="auto"/>
        <w:outlineLvl w:val="1"/>
        <w:rPr>
          <w:rFonts w:ascii="Helvetica" w:eastAsia="Times New Roman" w:hAnsi="Helvetica" w:cs="Helvetica"/>
          <w:b/>
          <w:bCs/>
          <w:color w:val="404041"/>
          <w:kern w:val="0"/>
          <w:sz w:val="57"/>
          <w:szCs w:val="57"/>
          <w14:ligatures w14:val="none"/>
        </w:rPr>
      </w:pPr>
    </w:p>
    <w:p w14:paraId="3E63D6FC" w14:textId="77777777" w:rsidR="006A7F0E" w:rsidRDefault="006A7F0E" w:rsidP="006A7F0E">
      <w:pPr>
        <w:pBdr>
          <w:bottom w:val="single" w:sz="24" w:space="8" w:color="EFEFEF"/>
        </w:pBdr>
        <w:shd w:val="clear" w:color="auto" w:fill="FFFFFF"/>
        <w:spacing w:before="480" w:after="240" w:line="240" w:lineRule="auto"/>
        <w:outlineLvl w:val="1"/>
        <w:rPr>
          <w:rFonts w:ascii="Helvetica" w:eastAsia="Times New Roman" w:hAnsi="Helvetica" w:cs="Helvetica"/>
          <w:b/>
          <w:bCs/>
          <w:color w:val="404041"/>
          <w:kern w:val="0"/>
          <w:sz w:val="57"/>
          <w:szCs w:val="57"/>
          <w14:ligatures w14:val="none"/>
        </w:rPr>
      </w:pPr>
    </w:p>
    <w:p w14:paraId="03B2B46B" w14:textId="07AACC14" w:rsidR="006A7F0E" w:rsidRPr="006A7F0E" w:rsidRDefault="006A7F0E" w:rsidP="006A7F0E">
      <w:pPr>
        <w:pBdr>
          <w:bottom w:val="single" w:sz="24" w:space="8" w:color="EFEFEF"/>
        </w:pBdr>
        <w:shd w:val="clear" w:color="auto" w:fill="FFFFFF"/>
        <w:spacing w:before="480" w:after="240" w:line="240" w:lineRule="auto"/>
        <w:outlineLvl w:val="1"/>
        <w:rPr>
          <w:rFonts w:ascii="Helvetica" w:eastAsia="Times New Roman" w:hAnsi="Helvetica" w:cs="Helvetica"/>
          <w:b/>
          <w:bCs/>
          <w:color w:val="404041"/>
          <w:kern w:val="0"/>
          <w:sz w:val="57"/>
          <w:szCs w:val="57"/>
          <w14:ligatures w14:val="none"/>
        </w:rPr>
      </w:pPr>
      <w:r w:rsidRPr="006A7F0E">
        <w:rPr>
          <w:rFonts w:ascii="Helvetica" w:eastAsia="Times New Roman" w:hAnsi="Helvetica" w:cs="Helvetica"/>
          <w:b/>
          <w:bCs/>
          <w:color w:val="404041"/>
          <w:kern w:val="0"/>
          <w:sz w:val="57"/>
          <w:szCs w:val="57"/>
          <w14:ligatures w14:val="none"/>
        </w:rPr>
        <w:lastRenderedPageBreak/>
        <w:t>Inequality in the labour force</w:t>
      </w:r>
    </w:p>
    <w:p w14:paraId="79C024C4"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Economists refer to people who look for paid work as being “in the labour force.” In terms of men and women who were looking for paid work in 2023, gender inequalities have not changed since the previous year.</w:t>
      </w:r>
    </w:p>
    <w:p w14:paraId="5B4F605F"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Like in 2022, men are still more likely than women to be in the labour force in 2023. By November 2023, 71 per cent of men were looking for paid work, compared to only 61 per cent of women.</w:t>
      </w:r>
    </w:p>
    <w:p w14:paraId="0F310F61"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What accounts for this gender gap? Women’s absence in the labour force is often referred to as a personal choice for taking care of children. Many couples, </w:t>
      </w:r>
      <w:hyperlink r:id="rId14" w:history="1">
        <w:r w:rsidRPr="006A7F0E">
          <w:rPr>
            <w:rFonts w:ascii="Open Sans" w:eastAsia="Times New Roman" w:hAnsi="Open Sans" w:cs="Open Sans"/>
            <w:color w:val="085694"/>
            <w:kern w:val="0"/>
            <w:sz w:val="27"/>
            <w:szCs w:val="27"/>
            <w:u w:val="single"/>
            <w14:ligatures w14:val="none"/>
          </w:rPr>
          <w:t>faced with high childcare costs</w:t>
        </w:r>
      </w:hyperlink>
      <w:r w:rsidRPr="006A7F0E">
        <w:rPr>
          <w:rFonts w:ascii="Open Sans" w:eastAsia="Times New Roman" w:hAnsi="Open Sans" w:cs="Open Sans"/>
          <w:color w:val="4E4E4E"/>
          <w:kern w:val="0"/>
          <w:sz w:val="27"/>
          <w:szCs w:val="27"/>
          <w14:ligatures w14:val="none"/>
        </w:rPr>
        <w:t>, decide that one parent should stay home. Given that </w:t>
      </w:r>
      <w:hyperlink r:id="rId15" w:history="1">
        <w:r w:rsidRPr="006A7F0E">
          <w:rPr>
            <w:rFonts w:ascii="Open Sans" w:eastAsia="Times New Roman" w:hAnsi="Open Sans" w:cs="Open Sans"/>
            <w:color w:val="085694"/>
            <w:kern w:val="0"/>
            <w:sz w:val="27"/>
            <w:szCs w:val="27"/>
            <w:u w:val="single"/>
            <w14:ligatures w14:val="none"/>
          </w:rPr>
          <w:t>men’s take-home pay exceeds women’s</w:t>
        </w:r>
      </w:hyperlink>
      <w:r w:rsidRPr="006A7F0E">
        <w:rPr>
          <w:rFonts w:ascii="Open Sans" w:eastAsia="Times New Roman" w:hAnsi="Open Sans" w:cs="Open Sans"/>
          <w:color w:val="4E4E4E"/>
          <w:kern w:val="0"/>
          <w:sz w:val="27"/>
          <w:szCs w:val="27"/>
          <w14:ligatures w14:val="none"/>
        </w:rPr>
        <w:t>, this parent usually ends up being the mother in heterosexual relationships.</w:t>
      </w:r>
    </w:p>
    <w:p w14:paraId="6827C12C"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However, what is sidestepped in framing this as a choice are the broader societal conditions that contribute to this choice. Women’s absence from the labour force is often not a choice, but the result of factors outside their control.</w:t>
      </w:r>
    </w:p>
    <w:p w14:paraId="582A9305"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A good example is the high cost of childcare, which the federal government is trying to address with its </w:t>
      </w:r>
      <w:hyperlink r:id="rId16" w:history="1">
        <w:r w:rsidRPr="006A7F0E">
          <w:rPr>
            <w:rFonts w:ascii="Open Sans" w:eastAsia="Times New Roman" w:hAnsi="Open Sans" w:cs="Open Sans"/>
            <w:color w:val="085694"/>
            <w:kern w:val="0"/>
            <w:sz w:val="27"/>
            <w:szCs w:val="27"/>
            <w:u w:val="single"/>
            <w14:ligatures w14:val="none"/>
          </w:rPr>
          <w:t>$10-a-day childcare plan</w:t>
        </w:r>
      </w:hyperlink>
      <w:r w:rsidRPr="006A7F0E">
        <w:rPr>
          <w:rFonts w:ascii="Open Sans" w:eastAsia="Times New Roman" w:hAnsi="Open Sans" w:cs="Open Sans"/>
          <w:color w:val="4E4E4E"/>
          <w:kern w:val="0"/>
          <w:sz w:val="27"/>
          <w:szCs w:val="27"/>
          <w14:ligatures w14:val="none"/>
        </w:rPr>
        <w:t>. While some cities have seen childcare fees drop as a result, </w:t>
      </w:r>
      <w:hyperlink r:id="rId17" w:history="1">
        <w:r w:rsidRPr="006A7F0E">
          <w:rPr>
            <w:rFonts w:ascii="Open Sans" w:eastAsia="Times New Roman" w:hAnsi="Open Sans" w:cs="Open Sans"/>
            <w:color w:val="085694"/>
            <w:kern w:val="0"/>
            <w:sz w:val="27"/>
            <w:szCs w:val="27"/>
            <w:u w:val="single"/>
            <w14:ligatures w14:val="none"/>
          </w:rPr>
          <w:t>others are still falling short</w:t>
        </w:r>
      </w:hyperlink>
      <w:r w:rsidRPr="006A7F0E">
        <w:rPr>
          <w:rFonts w:ascii="Open Sans" w:eastAsia="Times New Roman" w:hAnsi="Open Sans" w:cs="Open Sans"/>
          <w:color w:val="4E4E4E"/>
          <w:kern w:val="0"/>
          <w:sz w:val="27"/>
          <w:szCs w:val="27"/>
          <w14:ligatures w14:val="none"/>
        </w:rPr>
        <w:t> of the federal government’s target.</w:t>
      </w:r>
    </w:p>
    <w:p w14:paraId="7456FF14"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Another contributing factor is the </w:t>
      </w:r>
      <w:hyperlink r:id="rId18" w:history="1">
        <w:r w:rsidRPr="006A7F0E">
          <w:rPr>
            <w:rFonts w:ascii="Open Sans" w:eastAsia="Times New Roman" w:hAnsi="Open Sans" w:cs="Open Sans"/>
            <w:color w:val="085694"/>
            <w:kern w:val="0"/>
            <w:sz w:val="27"/>
            <w:szCs w:val="27"/>
            <w:u w:val="single"/>
            <w14:ligatures w14:val="none"/>
          </w:rPr>
          <w:t>undervaluation of professions that tend to consist primarily of women</w:t>
        </w:r>
      </w:hyperlink>
      <w:r w:rsidRPr="006A7F0E">
        <w:rPr>
          <w:rFonts w:ascii="Open Sans" w:eastAsia="Times New Roman" w:hAnsi="Open Sans" w:cs="Open Sans"/>
          <w:color w:val="4E4E4E"/>
          <w:kern w:val="0"/>
          <w:sz w:val="27"/>
          <w:szCs w:val="27"/>
          <w14:ligatures w14:val="none"/>
        </w:rPr>
        <w:t>, like nursing and care work, even though they provide services crucial for society, as anyone who has been to the emergency department knows.</w:t>
      </w:r>
    </w:p>
    <w:p w14:paraId="4884A16B" w14:textId="77777777" w:rsidR="006A7F0E" w:rsidRPr="006A7F0E" w:rsidRDefault="006A7F0E" w:rsidP="006A7F0E">
      <w:pPr>
        <w:pBdr>
          <w:bottom w:val="single" w:sz="24" w:space="8" w:color="EFEFEF"/>
        </w:pBdr>
        <w:shd w:val="clear" w:color="auto" w:fill="FFFFFF"/>
        <w:spacing w:before="480" w:after="240" w:line="240" w:lineRule="auto"/>
        <w:outlineLvl w:val="1"/>
        <w:rPr>
          <w:rFonts w:ascii="Helvetica" w:eastAsia="Times New Roman" w:hAnsi="Helvetica" w:cs="Helvetica"/>
          <w:b/>
          <w:bCs/>
          <w:color w:val="404041"/>
          <w:kern w:val="0"/>
          <w:sz w:val="57"/>
          <w:szCs w:val="57"/>
          <w14:ligatures w14:val="none"/>
        </w:rPr>
      </w:pPr>
      <w:r w:rsidRPr="006A7F0E">
        <w:rPr>
          <w:rFonts w:ascii="Helvetica" w:eastAsia="Times New Roman" w:hAnsi="Helvetica" w:cs="Helvetica"/>
          <w:b/>
          <w:bCs/>
          <w:color w:val="404041"/>
          <w:kern w:val="0"/>
          <w:sz w:val="57"/>
          <w:szCs w:val="57"/>
          <w14:ligatures w14:val="none"/>
        </w:rPr>
        <w:t>Gender and unemployment</w:t>
      </w:r>
    </w:p>
    <w:p w14:paraId="23316927"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When it comes to unemployment, the gender gap has dramatically changed: fewer women were unemployed in 2023 than men. In November 2023, five per cent of women in the labour force were unemployed, compared to six per cent of men.</w:t>
      </w:r>
    </w:p>
    <w:p w14:paraId="399BCA7F"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This is a reversal from 2022, when </w:t>
      </w:r>
      <w:r w:rsidRPr="006A7F0E">
        <w:rPr>
          <w:rFonts w:ascii="Open Sans" w:eastAsia="Times New Roman" w:hAnsi="Open Sans" w:cs="Open Sans"/>
          <w:i/>
          <w:iCs/>
          <w:color w:val="4E4E4E"/>
          <w:kern w:val="0"/>
          <w:sz w:val="27"/>
          <w:szCs w:val="27"/>
          <w14:ligatures w14:val="none"/>
        </w:rPr>
        <w:t>more</w:t>
      </w:r>
      <w:r w:rsidRPr="006A7F0E">
        <w:rPr>
          <w:rFonts w:ascii="Open Sans" w:eastAsia="Times New Roman" w:hAnsi="Open Sans" w:cs="Open Sans"/>
          <w:color w:val="4E4E4E"/>
          <w:kern w:val="0"/>
          <w:sz w:val="27"/>
          <w:szCs w:val="27"/>
          <w14:ligatures w14:val="none"/>
        </w:rPr>
        <w:t> women were unemployed than men. While a gender gap in unemployment still exists, it now favours women slightly.</w:t>
      </w:r>
    </w:p>
    <w:p w14:paraId="28B42EFF"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 xml:space="preserve">Shifting focus to employed individuals and the gender gaps in both part-time and full-time employment, the data shows that men in the labour force are more likely to </w:t>
      </w:r>
      <w:r w:rsidRPr="006A7F0E">
        <w:rPr>
          <w:rFonts w:ascii="Open Sans" w:eastAsia="Times New Roman" w:hAnsi="Open Sans" w:cs="Open Sans"/>
          <w:color w:val="4E4E4E"/>
          <w:kern w:val="0"/>
          <w:sz w:val="27"/>
          <w:szCs w:val="27"/>
          <w14:ligatures w14:val="none"/>
        </w:rPr>
        <w:lastRenderedPageBreak/>
        <w:t>have full-time jobs than women. In November 2023, 82 per cent of men in the labour force worked full time, compared to slightly less than 72 per cent of women.</w:t>
      </w:r>
    </w:p>
    <w:p w14:paraId="237BC3B5"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Men, like women, worked less full-time in 2023 than in 2022; however, the decrease in full-time work has been most pronounced for men. In August 2022, 84 per cent of men in the labour force held full-time jobs, compared to slightly more than 72 per cent of women. The gender gap in full-time work continues to favour men, although it is narrowing.</w:t>
      </w:r>
    </w:p>
    <w:p w14:paraId="5E0FACC7"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The opposite is true for part-time work — women continue to work part-time more than men, with 23 per cent of women working part-time, compared to 13 per cent of men. This is an increase from 2022, when 21 per cent of women and 10 per cent of men worked part-time.</w:t>
      </w:r>
    </w:p>
    <w:p w14:paraId="1A6426B6"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Overall, the gender gap in part-time work continues to favour women: women are still more likely to work part-time than men.</w:t>
      </w:r>
    </w:p>
    <w:p w14:paraId="0F2DD47C" w14:textId="77777777" w:rsidR="006A7F0E" w:rsidRPr="006A7F0E" w:rsidRDefault="006A7F0E" w:rsidP="006A7F0E">
      <w:pPr>
        <w:pBdr>
          <w:bottom w:val="single" w:sz="24" w:space="8" w:color="EFEFEF"/>
        </w:pBdr>
        <w:shd w:val="clear" w:color="auto" w:fill="FFFFFF"/>
        <w:spacing w:before="480" w:after="240" w:line="240" w:lineRule="auto"/>
        <w:outlineLvl w:val="1"/>
        <w:rPr>
          <w:rFonts w:ascii="Helvetica" w:eastAsia="Times New Roman" w:hAnsi="Helvetica" w:cs="Helvetica"/>
          <w:b/>
          <w:bCs/>
          <w:color w:val="404041"/>
          <w:kern w:val="0"/>
          <w:sz w:val="57"/>
          <w:szCs w:val="57"/>
          <w14:ligatures w14:val="none"/>
        </w:rPr>
      </w:pPr>
      <w:r w:rsidRPr="006A7F0E">
        <w:rPr>
          <w:rFonts w:ascii="Helvetica" w:eastAsia="Times New Roman" w:hAnsi="Helvetica" w:cs="Helvetica"/>
          <w:b/>
          <w:bCs/>
          <w:color w:val="404041"/>
          <w:kern w:val="0"/>
          <w:sz w:val="57"/>
          <w:szCs w:val="57"/>
          <w14:ligatures w14:val="none"/>
        </w:rPr>
        <w:t>Burden of childcare</w:t>
      </w:r>
    </w:p>
    <w:p w14:paraId="6C3D4DA5"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Statistics Canada’s data on why people work part-time sheds light on the gender gap in part-time work. In November 2023, slightly less than 27 per cent of women aged 25 to 54 worked part-time because they cared for children, compared to only 4.5 per cent of men.</w:t>
      </w:r>
    </w:p>
    <w:p w14:paraId="06D8A06A"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This gender gap has widened since August 2022, when nearly seven per cent of men worked part-time because of caregiving, compared to a bit more than 27 per cent of women.</w:t>
      </w:r>
    </w:p>
    <w:p w14:paraId="3F8EC485"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The slight drop in women working part-time due to caregiving could be explained by the </w:t>
      </w:r>
      <w:hyperlink r:id="rId19" w:history="1">
        <w:r w:rsidRPr="006A7F0E">
          <w:rPr>
            <w:rFonts w:ascii="Open Sans" w:eastAsia="Times New Roman" w:hAnsi="Open Sans" w:cs="Open Sans"/>
            <w:color w:val="085694"/>
            <w:kern w:val="0"/>
            <w:sz w:val="27"/>
            <w:szCs w:val="27"/>
            <w:u w:val="single"/>
            <w14:ligatures w14:val="none"/>
          </w:rPr>
          <w:t>Canada-wide Early Learning and Child Care Plan</w:t>
        </w:r>
      </w:hyperlink>
      <w:r w:rsidRPr="006A7F0E">
        <w:rPr>
          <w:rFonts w:ascii="Open Sans" w:eastAsia="Times New Roman" w:hAnsi="Open Sans" w:cs="Open Sans"/>
          <w:color w:val="4E4E4E"/>
          <w:kern w:val="0"/>
          <w:sz w:val="27"/>
          <w:szCs w:val="27"/>
          <w14:ligatures w14:val="none"/>
        </w:rPr>
        <w:t>, which made childcare more affordable.</w:t>
      </w:r>
    </w:p>
    <w:p w14:paraId="6315FD21"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Traditionally, </w:t>
      </w:r>
      <w:hyperlink r:id="rId20" w:history="1">
        <w:r w:rsidRPr="006A7F0E">
          <w:rPr>
            <w:rFonts w:ascii="Open Sans" w:eastAsia="Times New Roman" w:hAnsi="Open Sans" w:cs="Open Sans"/>
            <w:color w:val="085694"/>
            <w:kern w:val="0"/>
            <w:sz w:val="27"/>
            <w:szCs w:val="27"/>
            <w:u w:val="single"/>
            <w14:ligatures w14:val="none"/>
          </w:rPr>
          <w:t>social norms hold women, not men, as the primary caregivers</w:t>
        </w:r>
      </w:hyperlink>
      <w:r w:rsidRPr="006A7F0E">
        <w:rPr>
          <w:rFonts w:ascii="Open Sans" w:eastAsia="Times New Roman" w:hAnsi="Open Sans" w:cs="Open Sans"/>
          <w:color w:val="4E4E4E"/>
          <w:kern w:val="0"/>
          <w:sz w:val="27"/>
          <w:szCs w:val="27"/>
          <w14:ligatures w14:val="none"/>
        </w:rPr>
        <w:t>. These norms could explain why fathers, more than mothers, stop working part-time because of caregiving when affordable childcare becomes available. However, research is necessary to provide a definitive answer.</w:t>
      </w:r>
    </w:p>
    <w:p w14:paraId="5D9CBA85"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t xml:space="preserve">Policy interventions, workplace reforms and community support are pivotal in creating an environment that empowers women to participate in the workforce and men to participate in </w:t>
      </w:r>
      <w:proofErr w:type="spellStart"/>
      <w:r w:rsidRPr="006A7F0E">
        <w:rPr>
          <w:rFonts w:ascii="Open Sans" w:eastAsia="Times New Roman" w:hAnsi="Open Sans" w:cs="Open Sans"/>
          <w:color w:val="4E4E4E"/>
          <w:kern w:val="0"/>
          <w:sz w:val="27"/>
          <w:szCs w:val="27"/>
          <w14:ligatures w14:val="none"/>
        </w:rPr>
        <w:t>carework</w:t>
      </w:r>
      <w:proofErr w:type="spellEnd"/>
      <w:r w:rsidRPr="006A7F0E">
        <w:rPr>
          <w:rFonts w:ascii="Open Sans" w:eastAsia="Times New Roman" w:hAnsi="Open Sans" w:cs="Open Sans"/>
          <w:color w:val="4E4E4E"/>
          <w:kern w:val="0"/>
          <w:sz w:val="27"/>
          <w:szCs w:val="27"/>
          <w14:ligatures w14:val="none"/>
        </w:rPr>
        <w:t xml:space="preserve"> at home.</w:t>
      </w:r>
    </w:p>
    <w:p w14:paraId="60AC70DB"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color w:val="4E4E4E"/>
          <w:kern w:val="0"/>
          <w:sz w:val="27"/>
          <w:szCs w:val="27"/>
          <w14:ligatures w14:val="none"/>
        </w:rPr>
        <w:lastRenderedPageBreak/>
        <w:t>Initiatives that address the root causes of gender disparities, such as affordable childcare, can contribute to levelling the playing field. Moreover, workplaces can help level the playing field by </w:t>
      </w:r>
      <w:hyperlink r:id="rId21" w:history="1">
        <w:r w:rsidRPr="006A7F0E">
          <w:rPr>
            <w:rFonts w:ascii="Open Sans" w:eastAsia="Times New Roman" w:hAnsi="Open Sans" w:cs="Open Sans"/>
            <w:color w:val="085694"/>
            <w:kern w:val="0"/>
            <w:sz w:val="27"/>
            <w:szCs w:val="27"/>
            <w:u w:val="single"/>
            <w14:ligatures w14:val="none"/>
          </w:rPr>
          <w:t>enabling and encouraging fathers to take paternity leaves</w:t>
        </w:r>
      </w:hyperlink>
      <w:r w:rsidRPr="006A7F0E">
        <w:rPr>
          <w:rFonts w:ascii="Open Sans" w:eastAsia="Times New Roman" w:hAnsi="Open Sans" w:cs="Open Sans"/>
          <w:color w:val="4E4E4E"/>
          <w:kern w:val="0"/>
          <w:sz w:val="27"/>
          <w:szCs w:val="27"/>
          <w14:ligatures w14:val="none"/>
        </w:rPr>
        <w:t>. By understanding the factors at play and actively working towards solutions, we can work towards addressing and rectifying gender inequalities.</w:t>
      </w:r>
    </w:p>
    <w:p w14:paraId="52727B04" w14:textId="77777777" w:rsidR="006A7F0E" w:rsidRPr="006A7F0E" w:rsidRDefault="006A7F0E" w:rsidP="006A7F0E">
      <w:pPr>
        <w:shd w:val="clear" w:color="auto" w:fill="FFFFFF"/>
        <w:spacing w:after="240" w:line="240" w:lineRule="auto"/>
        <w:rPr>
          <w:rFonts w:ascii="Open Sans" w:eastAsia="Times New Roman" w:hAnsi="Open Sans" w:cs="Open Sans"/>
          <w:color w:val="4E4E4E"/>
          <w:kern w:val="0"/>
          <w:sz w:val="27"/>
          <w:szCs w:val="27"/>
          <w14:ligatures w14:val="none"/>
        </w:rPr>
      </w:pPr>
      <w:r w:rsidRPr="006A7F0E">
        <w:rPr>
          <w:rFonts w:ascii="Open Sans" w:eastAsia="Times New Roman" w:hAnsi="Open Sans" w:cs="Open Sans"/>
          <w:i/>
          <w:iCs/>
          <w:color w:val="4E4E4E"/>
          <w:kern w:val="0"/>
          <w:sz w:val="27"/>
          <w:szCs w:val="27"/>
          <w14:ligatures w14:val="none"/>
        </w:rPr>
        <w:t>This article is republished from </w:t>
      </w:r>
      <w:hyperlink r:id="rId22" w:history="1">
        <w:r w:rsidRPr="006A7F0E">
          <w:rPr>
            <w:rFonts w:ascii="Open Sans" w:eastAsia="Times New Roman" w:hAnsi="Open Sans" w:cs="Open Sans"/>
            <w:i/>
            <w:iCs/>
            <w:color w:val="085694"/>
            <w:kern w:val="0"/>
            <w:sz w:val="27"/>
            <w:szCs w:val="27"/>
            <w:u w:val="single"/>
            <w14:ligatures w14:val="none"/>
          </w:rPr>
          <w:t>The Conversation</w:t>
        </w:r>
      </w:hyperlink>
      <w:r w:rsidRPr="006A7F0E">
        <w:rPr>
          <w:rFonts w:ascii="Open Sans" w:eastAsia="Times New Roman" w:hAnsi="Open Sans" w:cs="Open Sans"/>
          <w:i/>
          <w:iCs/>
          <w:color w:val="4E4E4E"/>
          <w:kern w:val="0"/>
          <w:sz w:val="27"/>
          <w:szCs w:val="27"/>
          <w14:ligatures w14:val="none"/>
        </w:rPr>
        <w:t> under a Creative Commons license. Read the </w:t>
      </w:r>
      <w:hyperlink r:id="rId23" w:history="1">
        <w:r w:rsidRPr="006A7F0E">
          <w:rPr>
            <w:rFonts w:ascii="Open Sans" w:eastAsia="Times New Roman" w:hAnsi="Open Sans" w:cs="Open Sans"/>
            <w:i/>
            <w:iCs/>
            <w:color w:val="085694"/>
            <w:kern w:val="0"/>
            <w:sz w:val="27"/>
            <w:szCs w:val="27"/>
            <w:u w:val="single"/>
            <w14:ligatures w14:val="none"/>
          </w:rPr>
          <w:t>original article</w:t>
        </w:r>
      </w:hyperlink>
      <w:r w:rsidRPr="006A7F0E">
        <w:rPr>
          <w:rFonts w:ascii="Open Sans" w:eastAsia="Times New Roman" w:hAnsi="Open Sans" w:cs="Open Sans"/>
          <w:i/>
          <w:iCs/>
          <w:color w:val="4E4E4E"/>
          <w:kern w:val="0"/>
          <w:sz w:val="27"/>
          <w:szCs w:val="27"/>
          <w14:ligatures w14:val="none"/>
        </w:rPr>
        <w:t>.</w:t>
      </w:r>
    </w:p>
    <w:sectPr w:rsidR="006A7F0E" w:rsidRPr="006A7F0E" w:rsidSect="000F6D1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362"/>
    <w:multiLevelType w:val="multilevel"/>
    <w:tmpl w:val="8A2E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D16FB"/>
    <w:multiLevelType w:val="multilevel"/>
    <w:tmpl w:val="8B5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1260B"/>
    <w:multiLevelType w:val="multilevel"/>
    <w:tmpl w:val="77C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2F1BE2"/>
    <w:multiLevelType w:val="multilevel"/>
    <w:tmpl w:val="DE14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9213441">
    <w:abstractNumId w:val="3"/>
  </w:num>
  <w:num w:numId="2" w16cid:durableId="1320890404">
    <w:abstractNumId w:val="1"/>
  </w:num>
  <w:num w:numId="3" w16cid:durableId="292946512">
    <w:abstractNumId w:val="0"/>
  </w:num>
  <w:num w:numId="4" w16cid:durableId="398862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0E"/>
    <w:rsid w:val="000F6D17"/>
    <w:rsid w:val="006A7F0E"/>
    <w:rsid w:val="006F3428"/>
    <w:rsid w:val="00822F8B"/>
    <w:rsid w:val="00B4432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8FA9"/>
  <w15:chartTrackingRefBased/>
  <w15:docId w15:val="{07CBC03E-F99B-4119-ABBC-D3ED75F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F0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A7F0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5">
    <w:name w:val="heading 5"/>
    <w:basedOn w:val="Normal"/>
    <w:link w:val="Heading5Char"/>
    <w:uiPriority w:val="9"/>
    <w:qFormat/>
    <w:rsid w:val="006A7F0E"/>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0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A7F0E"/>
    <w:rPr>
      <w:rFonts w:ascii="Times New Roman" w:eastAsia="Times New Roman" w:hAnsi="Times New Roman" w:cs="Times New Roman"/>
      <w:b/>
      <w:bCs/>
      <w:kern w:val="0"/>
      <w:sz w:val="36"/>
      <w:szCs w:val="36"/>
      <w14:ligatures w14:val="none"/>
    </w:rPr>
  </w:style>
  <w:style w:type="character" w:customStyle="1" w:styleId="Heading5Char">
    <w:name w:val="Heading 5 Char"/>
    <w:basedOn w:val="DefaultParagraphFont"/>
    <w:link w:val="Heading5"/>
    <w:uiPriority w:val="9"/>
    <w:rsid w:val="006A7F0E"/>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6A7F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ull-right">
    <w:name w:val="pull-right"/>
    <w:basedOn w:val="DefaultParagraphFont"/>
    <w:rsid w:val="006A7F0E"/>
  </w:style>
  <w:style w:type="character" w:styleId="Hyperlink">
    <w:name w:val="Hyperlink"/>
    <w:basedOn w:val="DefaultParagraphFont"/>
    <w:uiPriority w:val="99"/>
    <w:semiHidden/>
    <w:unhideWhenUsed/>
    <w:rsid w:val="006A7F0E"/>
    <w:rPr>
      <w:color w:val="0000FF"/>
      <w:u w:val="single"/>
    </w:rPr>
  </w:style>
  <w:style w:type="paragraph" w:customStyle="1" w:styleId="lead">
    <w:name w:val="lead"/>
    <w:basedOn w:val="Normal"/>
    <w:rsid w:val="006A7F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wp-caption-text">
    <w:name w:val="wp-caption-text"/>
    <w:basedOn w:val="Normal"/>
    <w:rsid w:val="006A7F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A7F0E"/>
    <w:rPr>
      <w:i/>
      <w:iCs/>
    </w:rPr>
  </w:style>
  <w:style w:type="paragraph" w:customStyle="1" w:styleId="pull-left">
    <w:name w:val="pull-left"/>
    <w:basedOn w:val="Normal"/>
    <w:rsid w:val="006A7F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2206">
      <w:bodyDiv w:val="1"/>
      <w:marLeft w:val="0"/>
      <w:marRight w:val="0"/>
      <w:marTop w:val="0"/>
      <w:marBottom w:val="0"/>
      <w:divBdr>
        <w:top w:val="none" w:sz="0" w:space="0" w:color="auto"/>
        <w:left w:val="none" w:sz="0" w:space="0" w:color="auto"/>
        <w:bottom w:val="none" w:sz="0" w:space="0" w:color="auto"/>
        <w:right w:val="none" w:sz="0" w:space="0" w:color="auto"/>
      </w:divBdr>
      <w:divsChild>
        <w:div w:id="1054965044">
          <w:marLeft w:val="0"/>
          <w:marRight w:val="0"/>
          <w:marTop w:val="0"/>
          <w:marBottom w:val="0"/>
          <w:divBdr>
            <w:top w:val="none" w:sz="0" w:space="0" w:color="auto"/>
            <w:left w:val="none" w:sz="0" w:space="0" w:color="auto"/>
            <w:bottom w:val="none" w:sz="0" w:space="0" w:color="auto"/>
            <w:right w:val="none" w:sz="0" w:space="0" w:color="auto"/>
          </w:divBdr>
          <w:divsChild>
            <w:div w:id="463930464">
              <w:marLeft w:val="0"/>
              <w:marRight w:val="0"/>
              <w:marTop w:val="0"/>
              <w:marBottom w:val="0"/>
              <w:divBdr>
                <w:top w:val="none" w:sz="0" w:space="0" w:color="auto"/>
                <w:left w:val="none" w:sz="0" w:space="0" w:color="auto"/>
                <w:bottom w:val="none" w:sz="0" w:space="0" w:color="auto"/>
                <w:right w:val="none" w:sz="0" w:space="0" w:color="auto"/>
              </w:divBdr>
              <w:divsChild>
                <w:div w:id="1827821251">
                  <w:marLeft w:val="0"/>
                  <w:marRight w:val="0"/>
                  <w:marTop w:val="0"/>
                  <w:marBottom w:val="0"/>
                  <w:divBdr>
                    <w:top w:val="none" w:sz="0" w:space="0" w:color="auto"/>
                    <w:left w:val="none" w:sz="0" w:space="0" w:color="auto"/>
                    <w:bottom w:val="none" w:sz="0" w:space="0" w:color="auto"/>
                    <w:right w:val="none" w:sz="0" w:space="0" w:color="auto"/>
                  </w:divBdr>
                </w:div>
              </w:divsChild>
            </w:div>
            <w:div w:id="1285379659">
              <w:marLeft w:val="0"/>
              <w:marRight w:val="0"/>
              <w:marTop w:val="0"/>
              <w:marBottom w:val="0"/>
              <w:divBdr>
                <w:top w:val="none" w:sz="0" w:space="0" w:color="auto"/>
                <w:left w:val="none" w:sz="0" w:space="0" w:color="auto"/>
                <w:bottom w:val="none" w:sz="0" w:space="0" w:color="auto"/>
                <w:right w:val="none" w:sz="0" w:space="0" w:color="auto"/>
              </w:divBdr>
              <w:divsChild>
                <w:div w:id="1567835211">
                  <w:marLeft w:val="0"/>
                  <w:marRight w:val="300"/>
                  <w:marTop w:val="75"/>
                  <w:marBottom w:val="300"/>
                  <w:divBdr>
                    <w:top w:val="single" w:sz="6" w:space="4" w:color="F0F0F0"/>
                    <w:left w:val="single" w:sz="6" w:space="2" w:color="F0F0F0"/>
                    <w:bottom w:val="single" w:sz="6" w:space="8" w:color="F0F0F0"/>
                    <w:right w:val="single" w:sz="6" w:space="2" w:color="F0F0F0"/>
                  </w:divBdr>
                </w:div>
                <w:div w:id="457072807">
                  <w:marLeft w:val="0"/>
                  <w:marRight w:val="0"/>
                  <w:marTop w:val="0"/>
                  <w:marBottom w:val="0"/>
                  <w:divBdr>
                    <w:top w:val="none" w:sz="0" w:space="0" w:color="auto"/>
                    <w:left w:val="none" w:sz="0" w:space="0" w:color="auto"/>
                    <w:bottom w:val="none" w:sz="0" w:space="0" w:color="auto"/>
                    <w:right w:val="none" w:sz="0" w:space="0" w:color="auto"/>
                  </w:divBdr>
                </w:div>
                <w:div w:id="332342698">
                  <w:marLeft w:val="0"/>
                  <w:marRight w:val="0"/>
                  <w:marTop w:val="0"/>
                  <w:marBottom w:val="0"/>
                  <w:divBdr>
                    <w:top w:val="none" w:sz="0" w:space="0" w:color="auto"/>
                    <w:left w:val="none" w:sz="0" w:space="0" w:color="auto"/>
                    <w:bottom w:val="none" w:sz="0" w:space="0" w:color="auto"/>
                    <w:right w:val="none" w:sz="0" w:space="0" w:color="auto"/>
                  </w:divBdr>
                </w:div>
                <w:div w:id="1310864533">
                  <w:marLeft w:val="0"/>
                  <w:marRight w:val="0"/>
                  <w:marTop w:val="0"/>
                  <w:marBottom w:val="0"/>
                  <w:divBdr>
                    <w:top w:val="none" w:sz="0" w:space="0" w:color="auto"/>
                    <w:left w:val="none" w:sz="0" w:space="0" w:color="auto"/>
                    <w:bottom w:val="none" w:sz="0" w:space="0" w:color="auto"/>
                    <w:right w:val="none" w:sz="0" w:space="0" w:color="auto"/>
                  </w:divBdr>
                  <w:divsChild>
                    <w:div w:id="1046950941">
                      <w:marLeft w:val="0"/>
                      <w:marRight w:val="0"/>
                      <w:marTop w:val="0"/>
                      <w:marBottom w:val="0"/>
                      <w:divBdr>
                        <w:top w:val="none" w:sz="0" w:space="0" w:color="auto"/>
                        <w:left w:val="none" w:sz="0" w:space="0" w:color="auto"/>
                        <w:bottom w:val="none" w:sz="0" w:space="0" w:color="auto"/>
                        <w:right w:val="none" w:sz="0" w:space="0" w:color="auto"/>
                      </w:divBdr>
                      <w:divsChild>
                        <w:div w:id="453258233">
                          <w:marLeft w:val="0"/>
                          <w:marRight w:val="0"/>
                          <w:marTop w:val="0"/>
                          <w:marBottom w:val="0"/>
                          <w:divBdr>
                            <w:top w:val="none" w:sz="0" w:space="0" w:color="auto"/>
                            <w:left w:val="none" w:sz="0" w:space="0" w:color="auto"/>
                            <w:bottom w:val="single" w:sz="6" w:space="8" w:color="085694"/>
                            <w:right w:val="none" w:sz="0" w:space="0" w:color="auto"/>
                          </w:divBdr>
                        </w:div>
                        <w:div w:id="602997064">
                          <w:marLeft w:val="0"/>
                          <w:marRight w:val="0"/>
                          <w:marTop w:val="240"/>
                          <w:marBottom w:val="240"/>
                          <w:divBdr>
                            <w:top w:val="none" w:sz="0" w:space="0" w:color="auto"/>
                            <w:left w:val="none" w:sz="0" w:space="0" w:color="auto"/>
                            <w:bottom w:val="none" w:sz="0" w:space="0" w:color="auto"/>
                            <w:right w:val="none" w:sz="0" w:space="0" w:color="auto"/>
                          </w:divBdr>
                          <w:divsChild>
                            <w:div w:id="1259414018">
                              <w:marLeft w:val="0"/>
                              <w:marRight w:val="0"/>
                              <w:marTop w:val="0"/>
                              <w:marBottom w:val="0"/>
                              <w:divBdr>
                                <w:top w:val="none" w:sz="0" w:space="0" w:color="auto"/>
                                <w:left w:val="none" w:sz="0" w:space="0" w:color="auto"/>
                                <w:bottom w:val="none" w:sz="0" w:space="0" w:color="auto"/>
                                <w:right w:val="none" w:sz="0" w:space="0" w:color="auto"/>
                              </w:divBdr>
                              <w:divsChild>
                                <w:div w:id="1298486176">
                                  <w:marLeft w:val="0"/>
                                  <w:marRight w:val="0"/>
                                  <w:marTop w:val="0"/>
                                  <w:marBottom w:val="0"/>
                                  <w:divBdr>
                                    <w:top w:val="none" w:sz="0" w:space="0" w:color="auto"/>
                                    <w:left w:val="none" w:sz="0" w:space="0" w:color="auto"/>
                                    <w:bottom w:val="none" w:sz="0" w:space="0" w:color="auto"/>
                                    <w:right w:val="none" w:sz="0" w:space="0" w:color="auto"/>
                                  </w:divBdr>
                                  <w:divsChild>
                                    <w:div w:id="16829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1017">
                              <w:marLeft w:val="0"/>
                              <w:marRight w:val="0"/>
                              <w:marTop w:val="0"/>
                              <w:marBottom w:val="0"/>
                              <w:divBdr>
                                <w:top w:val="none" w:sz="0" w:space="0" w:color="auto"/>
                                <w:left w:val="none" w:sz="0" w:space="0" w:color="auto"/>
                                <w:bottom w:val="none" w:sz="0" w:space="0" w:color="auto"/>
                                <w:right w:val="none" w:sz="0" w:space="0" w:color="auto"/>
                              </w:divBdr>
                              <w:divsChild>
                                <w:div w:id="573977999">
                                  <w:marLeft w:val="0"/>
                                  <w:marRight w:val="0"/>
                                  <w:marTop w:val="0"/>
                                  <w:marBottom w:val="0"/>
                                  <w:divBdr>
                                    <w:top w:val="none" w:sz="0" w:space="0" w:color="auto"/>
                                    <w:left w:val="none" w:sz="0" w:space="0" w:color="auto"/>
                                    <w:bottom w:val="none" w:sz="0" w:space="0" w:color="auto"/>
                                    <w:right w:val="none" w:sz="0" w:space="0" w:color="auto"/>
                                  </w:divBdr>
                                  <w:divsChild>
                                    <w:div w:id="12588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4883">
                              <w:marLeft w:val="0"/>
                              <w:marRight w:val="0"/>
                              <w:marTop w:val="0"/>
                              <w:marBottom w:val="0"/>
                              <w:divBdr>
                                <w:top w:val="none" w:sz="0" w:space="0" w:color="auto"/>
                                <w:left w:val="none" w:sz="0" w:space="0" w:color="auto"/>
                                <w:bottom w:val="none" w:sz="0" w:space="0" w:color="auto"/>
                                <w:right w:val="none" w:sz="0" w:space="0" w:color="auto"/>
                              </w:divBdr>
                              <w:divsChild>
                                <w:div w:id="1675257154">
                                  <w:marLeft w:val="0"/>
                                  <w:marRight w:val="0"/>
                                  <w:marTop w:val="0"/>
                                  <w:marBottom w:val="0"/>
                                  <w:divBdr>
                                    <w:top w:val="none" w:sz="0" w:space="0" w:color="auto"/>
                                    <w:left w:val="none" w:sz="0" w:space="0" w:color="auto"/>
                                    <w:bottom w:val="none" w:sz="0" w:space="0" w:color="auto"/>
                                    <w:right w:val="none" w:sz="0" w:space="0" w:color="auto"/>
                                  </w:divBdr>
                                  <w:divsChild>
                                    <w:div w:id="3611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865">
                              <w:marLeft w:val="0"/>
                              <w:marRight w:val="0"/>
                              <w:marTop w:val="0"/>
                              <w:marBottom w:val="0"/>
                              <w:divBdr>
                                <w:top w:val="none" w:sz="0" w:space="0" w:color="auto"/>
                                <w:left w:val="none" w:sz="0" w:space="0" w:color="auto"/>
                                <w:bottom w:val="none" w:sz="0" w:space="0" w:color="auto"/>
                                <w:right w:val="none" w:sz="0" w:space="0" w:color="auto"/>
                              </w:divBdr>
                              <w:divsChild>
                                <w:div w:id="1019350153">
                                  <w:marLeft w:val="0"/>
                                  <w:marRight w:val="0"/>
                                  <w:marTop w:val="0"/>
                                  <w:marBottom w:val="0"/>
                                  <w:divBdr>
                                    <w:top w:val="none" w:sz="0" w:space="0" w:color="auto"/>
                                    <w:left w:val="none" w:sz="0" w:space="0" w:color="auto"/>
                                    <w:bottom w:val="none" w:sz="0" w:space="0" w:color="auto"/>
                                    <w:right w:val="none" w:sz="0" w:space="0" w:color="auto"/>
                                  </w:divBdr>
                                  <w:divsChild>
                                    <w:div w:id="9826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38208">
              <w:marLeft w:val="0"/>
              <w:marRight w:val="0"/>
              <w:marTop w:val="0"/>
              <w:marBottom w:val="0"/>
              <w:divBdr>
                <w:top w:val="none" w:sz="0" w:space="0" w:color="auto"/>
                <w:left w:val="none" w:sz="0" w:space="0" w:color="auto"/>
                <w:bottom w:val="none" w:sz="0" w:space="0" w:color="auto"/>
                <w:right w:val="none" w:sz="0" w:space="0" w:color="auto"/>
              </w:divBdr>
              <w:divsChild>
                <w:div w:id="999887972">
                  <w:marLeft w:val="0"/>
                  <w:marRight w:val="0"/>
                  <w:marTop w:val="0"/>
                  <w:marBottom w:val="600"/>
                  <w:divBdr>
                    <w:top w:val="none" w:sz="0" w:space="0" w:color="auto"/>
                    <w:left w:val="none" w:sz="0" w:space="0" w:color="auto"/>
                    <w:bottom w:val="none" w:sz="0" w:space="0" w:color="auto"/>
                    <w:right w:val="none" w:sz="0" w:space="0" w:color="auto"/>
                  </w:divBdr>
                  <w:divsChild>
                    <w:div w:id="323820183">
                      <w:marLeft w:val="0"/>
                      <w:marRight w:val="0"/>
                      <w:marTop w:val="0"/>
                      <w:marBottom w:val="225"/>
                      <w:divBdr>
                        <w:top w:val="none" w:sz="0" w:space="0" w:color="auto"/>
                        <w:left w:val="none" w:sz="0" w:space="0" w:color="auto"/>
                        <w:bottom w:val="single" w:sz="6" w:space="4" w:color="085694"/>
                        <w:right w:val="none" w:sz="0" w:space="0" w:color="auto"/>
                      </w:divBdr>
                    </w:div>
                    <w:div w:id="423647860">
                      <w:marLeft w:val="-225"/>
                      <w:marRight w:val="0"/>
                      <w:marTop w:val="0"/>
                      <w:marBottom w:val="0"/>
                      <w:divBdr>
                        <w:top w:val="none" w:sz="0" w:space="0" w:color="auto"/>
                        <w:left w:val="none" w:sz="0" w:space="0" w:color="auto"/>
                        <w:bottom w:val="none" w:sz="0" w:space="0" w:color="auto"/>
                        <w:right w:val="none" w:sz="0" w:space="0" w:color="auto"/>
                      </w:divBdr>
                    </w:div>
                  </w:divsChild>
                </w:div>
                <w:div w:id="1168131431">
                  <w:marLeft w:val="0"/>
                  <w:marRight w:val="0"/>
                  <w:marTop w:val="0"/>
                  <w:marBottom w:val="0"/>
                  <w:divBdr>
                    <w:top w:val="none" w:sz="0" w:space="0" w:color="auto"/>
                    <w:left w:val="none" w:sz="0" w:space="0" w:color="auto"/>
                    <w:bottom w:val="single" w:sz="6" w:space="8" w:color="085694"/>
                    <w:right w:val="none" w:sz="0" w:space="0" w:color="auto"/>
                  </w:divBdr>
                </w:div>
                <w:div w:id="164797301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ianmanufacturing.com/topic/research-and-development/" TargetMode="External"/><Relationship Id="rId13" Type="http://schemas.openxmlformats.org/officeDocument/2006/relationships/hyperlink" Target="https://www150.statcan.gc.ca/t1/tbl1/en/tv.action?pid=1410001701" TargetMode="External"/><Relationship Id="rId18" Type="http://schemas.openxmlformats.org/officeDocument/2006/relationships/hyperlink" Target="https://www150.statcan.gc.ca/n1/daily-quotidien/220125/dq220125a-eng.htm" TargetMode="External"/><Relationship Id="rId3" Type="http://schemas.openxmlformats.org/officeDocument/2006/relationships/settings" Target="settings.xml"/><Relationship Id="rId21" Type="http://schemas.openxmlformats.org/officeDocument/2006/relationships/hyperlink" Target="https://www.concordia.ca/news/stories/2023/12/05/workplace-culture-is-preventing-men-from-taking-paternity-leave-writes-claudine-mangen.html" TargetMode="External"/><Relationship Id="rId7" Type="http://schemas.openxmlformats.org/officeDocument/2006/relationships/hyperlink" Target="https://www.canadianmanufacturing.com/topic/operations/" TargetMode="External"/><Relationship Id="rId12" Type="http://schemas.openxmlformats.org/officeDocument/2006/relationships/hyperlink" Target="https://thoughtleadership.rbc.com/pandemic-threatens-decades-of-womens-labour-force-gains/" TargetMode="External"/><Relationship Id="rId17" Type="http://schemas.openxmlformats.org/officeDocument/2006/relationships/hyperlink" Target="https://globalnews.ca/news/10048549/canada-child-care-fees-repor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ada.ca/en/employment-social-development/campaigns/child-care.html" TargetMode="External"/><Relationship Id="rId20" Type="http://schemas.openxmlformats.org/officeDocument/2006/relationships/hyperlink" Target="https://theconversation.com/why-elections-matter-national-child-care-plan-could-create-workplace-gender-equality-169307" TargetMode="External"/><Relationship Id="rId1" Type="http://schemas.openxmlformats.org/officeDocument/2006/relationships/numbering" Target="numbering.xml"/><Relationship Id="rId6" Type="http://schemas.openxmlformats.org/officeDocument/2006/relationships/hyperlink" Target="https://www.canadianmanufacturing.com/topic/manufacturing/" TargetMode="External"/><Relationship Id="rId11" Type="http://schemas.openxmlformats.org/officeDocument/2006/relationships/hyperlink" Target="https://theconversation.com/women-are-struggling-to-regain-lost-ground-in-the-workforce-after-covid-19-192313" TargetMode="External"/><Relationship Id="rId24" Type="http://schemas.openxmlformats.org/officeDocument/2006/relationships/fontTable" Target="fontTable.xml"/><Relationship Id="rId5" Type="http://schemas.openxmlformats.org/officeDocument/2006/relationships/hyperlink" Target="https://www.canadianmanufacturing.com/topic/human-resources/" TargetMode="External"/><Relationship Id="rId15" Type="http://schemas.openxmlformats.org/officeDocument/2006/relationships/hyperlink" Target="https://canadianwomen.org/the-facts/the-gender-pay-gap/" TargetMode="External"/><Relationship Id="rId23" Type="http://schemas.openxmlformats.org/officeDocument/2006/relationships/hyperlink" Target="https://theconversation.com/women-still-face-gender-inequalities-at-work-post-pandemic-219089" TargetMode="External"/><Relationship Id="rId10" Type="http://schemas.openxmlformats.org/officeDocument/2006/relationships/image" Target="media/image1.jpeg"/><Relationship Id="rId19" Type="http://schemas.openxmlformats.org/officeDocument/2006/relationships/hyperlink" Target="https://www.canada.ca/en/department-finance/news/2021/12/a-canada-wide-early-learning-and-child-care-plan.html" TargetMode="External"/><Relationship Id="rId4" Type="http://schemas.openxmlformats.org/officeDocument/2006/relationships/webSettings" Target="webSettings.xml"/><Relationship Id="rId9" Type="http://schemas.openxmlformats.org/officeDocument/2006/relationships/hyperlink" Target="https://www.canadianmanufacturing.com/industry/infrastructure/" TargetMode="External"/><Relationship Id="rId14" Type="http://schemas.openxmlformats.org/officeDocument/2006/relationships/hyperlink" Target="https://www150.statcan.gc.ca/n1/daily-quotidien/231205/dq231205a-eng.htm" TargetMode="External"/><Relationship Id="rId22" Type="http://schemas.openxmlformats.org/officeDocument/2006/relationships/hyperlink" Target="https://theconversation.co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Hall</dc:creator>
  <cp:keywords/>
  <dc:description/>
  <cp:lastModifiedBy>Sheila &amp; Mike Crook</cp:lastModifiedBy>
  <cp:revision>2</cp:revision>
  <cp:lastPrinted>2024-01-29T15:22:00Z</cp:lastPrinted>
  <dcterms:created xsi:type="dcterms:W3CDTF">2024-01-31T20:59:00Z</dcterms:created>
  <dcterms:modified xsi:type="dcterms:W3CDTF">2024-01-31T20:59:00Z</dcterms:modified>
</cp:coreProperties>
</file>